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2F" w:rsidRDefault="00B838EC">
      <w:pPr>
        <w:pStyle w:val="ConsPlusNormal"/>
        <w:jc w:val="right"/>
        <w:outlineLvl w:val="0"/>
      </w:pPr>
      <w:bookmarkStart w:id="0" w:name="_GoBack"/>
      <w:bookmarkEnd w:id="0"/>
      <w:r>
        <w:t>Приложение N 4</w:t>
      </w:r>
    </w:p>
    <w:p w:rsidR="00821E2F" w:rsidRDefault="00B838EC">
      <w:pPr>
        <w:pStyle w:val="ConsPlusNormal"/>
        <w:jc w:val="right"/>
      </w:pPr>
      <w:r>
        <w:t>к Программе</w:t>
      </w:r>
    </w:p>
    <w:p w:rsidR="00821E2F" w:rsidRDefault="00821E2F">
      <w:pPr>
        <w:pStyle w:val="ConsPlusNormal"/>
        <w:jc w:val="both"/>
      </w:pPr>
    </w:p>
    <w:p w:rsidR="00821E2F" w:rsidRDefault="00B838EC">
      <w:pPr>
        <w:pStyle w:val="ConsPlusTitle"/>
        <w:jc w:val="center"/>
      </w:pPr>
      <w:r>
        <w:t>ПРАВИЛА</w:t>
      </w:r>
    </w:p>
    <w:p w:rsidR="00821E2F" w:rsidRDefault="00B838EC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821E2F" w:rsidRDefault="00B838EC">
      <w:pPr>
        <w:pStyle w:val="ConsPlusTitle"/>
        <w:jc w:val="center"/>
      </w:pPr>
      <w:r>
        <w:t>БЮДЖЕТА МЕСТНЫМ БЮДЖЕТАМ НА РЕАЛИЗАЦИЮ ИНИЦИАТИВНЫХ ПРОЕКТОВ</w:t>
      </w:r>
    </w:p>
    <w:p w:rsidR="00821E2F" w:rsidRDefault="00B838EC">
      <w:pPr>
        <w:pStyle w:val="ConsPlusTitle"/>
        <w:jc w:val="center"/>
      </w:pPr>
      <w:r>
        <w:t>В МУНИЦИПАЛЬНЫХ ОБРАЗОВАНИЯХ МУРМАНСКОЙ ОБЛАСТИ</w:t>
      </w:r>
    </w:p>
    <w:p w:rsidR="00821E2F" w:rsidRDefault="00821E2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21E2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E2F" w:rsidRDefault="00821E2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E2F" w:rsidRDefault="00821E2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1E2F" w:rsidRDefault="00B838E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1E2F" w:rsidRDefault="00B838E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</w:t>
            </w:r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821E2F" w:rsidRDefault="00B838EC">
            <w:pPr>
              <w:pStyle w:val="ConsPlusNormal"/>
              <w:jc w:val="center"/>
            </w:pPr>
            <w:r>
              <w:rPr>
                <w:color w:val="392C69"/>
              </w:rPr>
              <w:t>от 23.09.2025 N 618-ПП)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1E2F" w:rsidRDefault="00821E2F">
            <w:pPr>
              <w:pStyle w:val="ConsPlusNormal"/>
            </w:pPr>
          </w:p>
        </w:tc>
      </w:tr>
    </w:tbl>
    <w:p w:rsidR="00821E2F" w:rsidRDefault="00821E2F">
      <w:pPr>
        <w:pStyle w:val="ConsPlusNormal"/>
        <w:jc w:val="both"/>
      </w:pPr>
    </w:p>
    <w:p w:rsidR="00821E2F" w:rsidRDefault="00B838EC">
      <w:pPr>
        <w:pStyle w:val="ConsPlusNormal"/>
        <w:ind w:firstLine="540"/>
        <w:jc w:val="both"/>
      </w:pPr>
      <w:r>
        <w:t xml:space="preserve">1. Настоящие Правила определяют порядок, условия предоставления и распределения субсидий из областного бюджета местным бюджетам на реализацию инициативных проектов, направленных на решение вопросов, отнесенных к компетенции органов местного самоуправления </w:t>
      </w:r>
      <w:r>
        <w:t>(далее - субсидия, инициативный проект соответственно).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Субсидия предоставляется на софинансирование расходных обязательств муниципальных образований - победителей конкурсного отбора, проводимого Министерством градостроительства и благоустройства Мурман</w:t>
      </w:r>
      <w:r>
        <w:t>ской области (далее - Министерство), в целях реализации инициативных проектов, предусмотренных Порядком проведения конкурсного отбора муниципальных образований Мурманской области для предоставления субсидии из областного бюджета местным бюджетам на реализа</w:t>
      </w:r>
      <w:r>
        <w:t>цию инициативных проектов, прилагаемым к государственной программе Мурманской области "Формирование современной городской среды" (далее - Порядок проведения конкурсного</w:t>
      </w:r>
      <w:proofErr w:type="gramEnd"/>
      <w:r>
        <w:t xml:space="preserve"> отбора).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3. Министерство является главным распорядителем бюджетных средств, до которого</w:t>
      </w:r>
      <w:r>
        <w:t xml:space="preserve">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4. Субсиди</w:t>
      </w:r>
      <w:r>
        <w:t>и предоставляются муниципальным образованиям, признанным победителями конкурсного отбора, при соблюдении следующих условий: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4.1. Наличие в муниципальных программах (подпрограммах муниципальных программ) мероприятий, направленных на реализацию инициативных </w:t>
      </w:r>
      <w:r>
        <w:t>проектов.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4.2. Заключение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субсидия, и</w:t>
      </w:r>
      <w:r>
        <w:t xml:space="preserve"> ответственность за невыполнение предусмотренных указанным соглашением обязательств.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4.3. </w:t>
      </w:r>
      <w:proofErr w:type="gramStart"/>
      <w:r>
        <w:t>Если за счет средств субсидий заказчиками (за исключением автономных учреждений) осуществляются закупки товаров, работ, услуг открытыми конкурентными способами опреде</w:t>
      </w:r>
      <w:r>
        <w:t>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частью 7 статьи 26 Федерального закона от 05.04.2013 N 44-ФЗ "О контрактной системе в сфере закуп</w:t>
      </w:r>
      <w:r>
        <w:t>ок товаров, работ, услуг для обеспечения государственных и муниципальных нужд", и</w:t>
      </w:r>
      <w:proofErr w:type="gramEnd"/>
      <w:r>
        <w:t xml:space="preserve">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</w:t>
      </w:r>
      <w:r>
        <w:lastRenderedPageBreak/>
        <w:t>М</w:t>
      </w:r>
      <w:r>
        <w:t>урманской области.</w:t>
      </w:r>
    </w:p>
    <w:p w:rsidR="00821E2F" w:rsidRDefault="00B838EC">
      <w:pPr>
        <w:pStyle w:val="ConsPlusNormal"/>
        <w:spacing w:before="240"/>
        <w:ind w:firstLine="540"/>
        <w:jc w:val="both"/>
      </w:pPr>
      <w:proofErr w:type="gramStart"/>
      <w:r>
        <w:t>Закупки товаров, работ, услуг за счет средств субсидий в соответствии с Федеральным законом от 18.07.2011 N 223-ФЗ "О закупках товаров, работ, услуг отдельными видами юридических лиц" (далее - Федеральный закон N 223-ФЗ) осуществляются з</w:t>
      </w:r>
      <w:r>
        <w:t>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</w:t>
      </w:r>
      <w:r>
        <w:t>тов, включенных в состав</w:t>
      </w:r>
      <w:proofErr w:type="gramEnd"/>
      <w:r>
        <w:t xml:space="preserve"> </w:t>
      </w:r>
      <w:proofErr w:type="gramStart"/>
      <w:r>
        <w:t xml:space="preserve">национальных 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</w:t>
      </w:r>
      <w:r>
        <w:t>проведению на безвозмездной основе закупок, осуществляемых конкурентными способами в соответствии с Федеральным законом N 223-ФЗ в целях реализации заказчиком за счет средств субсидии региональных проектов, обеспечивающих достижение целей, показателей и ре</w:t>
      </w:r>
      <w:r>
        <w:t>зультатов федеральных проектов, включенных в</w:t>
      </w:r>
      <w:proofErr w:type="gramEnd"/>
      <w:r>
        <w:t xml:space="preserve"> состав национальных проектов.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5. Расходование средств субсидий допускается путем:</w:t>
      </w:r>
    </w:p>
    <w:p w:rsidR="00821E2F" w:rsidRDefault="00B838EC">
      <w:pPr>
        <w:pStyle w:val="ConsPlusNormal"/>
        <w:spacing w:before="240"/>
        <w:ind w:firstLine="540"/>
        <w:jc w:val="both"/>
      </w:pPr>
      <w:proofErr w:type="gramStart"/>
      <w:r>
        <w:t>1) предоставления субсидий бюджетным и автономным учреждениям в соответствии с абзацем вторым пункта 1 статьи 78.1</w:t>
      </w:r>
      <w:r>
        <w:t xml:space="preserve"> Бюджетного кодекса Российской Федерации;</w:t>
      </w:r>
      <w:proofErr w:type="gramEnd"/>
    </w:p>
    <w:p w:rsidR="00821E2F" w:rsidRDefault="00B838EC">
      <w:pPr>
        <w:pStyle w:val="ConsPlusNormal"/>
        <w:spacing w:before="240"/>
        <w:ind w:firstLine="540"/>
        <w:jc w:val="both"/>
      </w:pPr>
      <w:r>
        <w:t>2) закупки товаров, работ и услуг для обеспечения муниципальных нужд (за исключением бюджетных ассигнований для обеспечения выполнения функций казенного учреждения и бюджетных ассигнований на осуществление бюджетны</w:t>
      </w:r>
      <w:r>
        <w:t>х инвестиций в объекты государственной (муниципальной) собственности);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3)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</w:t>
      </w:r>
      <w:r>
        <w:t>от, услуг в целях финансового обеспечения (возмещения) затрат в связи с выполнением работ по ремонту входных групп и подъездов многоквартирных домов и благоустройству территорий.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6. Критериями конкурсного отбора муниципальных образований для предоставления</w:t>
      </w:r>
      <w:r>
        <w:t xml:space="preserve"> субсидии из областного бюджета местным бюджетам на реализацию инициативных проектов, за исключением инициативных проектов по ремонту входных групп и подъездов в многоквартирных домах, являются: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уровень софинансирования инициативного проекта со стороны б</w:t>
      </w:r>
      <w:r>
        <w:t>юджета муниципального образования;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участие населения, юридических лиц, индивидуальных предпринимателей в реализации инициативного проекта;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социальная эффективность от реализации инициативного проекта;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- степень участия населения в определении проблемы </w:t>
      </w:r>
      <w:r>
        <w:t>и подготовке инициативного проекта, в голосовании по поддержке инициативного проекта;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организация информационной работы.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7. Критериями конкурсного отбора муниципальных образований для предоставления субсидии из областного бюджета местным бюджетам на реал</w:t>
      </w:r>
      <w:r>
        <w:t xml:space="preserve">изацию инициативных проектов по </w:t>
      </w:r>
      <w:r>
        <w:lastRenderedPageBreak/>
        <w:t>ремонту входных групп и подъездов в многоквартирных домах являются: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уровень софинансирования со стороны бюджета муниципального образования инициативного проекта по ремонту входных групп и подъездов в многоквартирных домах;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уровень софинансирования юридическими лицами (в том числе управляющими организациями), индивидуальными предпринимателями инициативного проекта по ремонту входных групп и подъездов в многоквартирных домах;</w:t>
      </w:r>
    </w:p>
    <w:p w:rsidR="00821E2F" w:rsidRDefault="00B838EC">
      <w:pPr>
        <w:pStyle w:val="ConsPlusNormal"/>
        <w:jc w:val="both"/>
      </w:pPr>
      <w:r>
        <w:t>(в ред. Постановления Правительства Мурманской о</w:t>
      </w:r>
      <w:r>
        <w:t>бласти от 23.09.2025 N 618-ПП)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степень участия населения в определении проблемы и подготовке инициативного проекта по ремонту входных групп и подъездов в многоквартирных домах, в голосовании по поддержке инициативного проекта по ремонту входных групп и п</w:t>
      </w:r>
      <w:r>
        <w:t>одъездов в многоквартирных домах;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организация информационной работы;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иные критерии, установленные Порядком проведения конкурсного отбора.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Инициативный проект по ремонту подъездов в многоквартирном доме в обязательном порядке должен включать все подъезд</w:t>
      </w:r>
      <w:r>
        <w:t>ы данного дома, ремонт в которых не проводился в течение последних трех лет.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8. Конкурсный отбор муниципальных образований для предоставления субсидии осуществляется Министерством на основании представленных заявок с необходимым комплектом документов для у</w:t>
      </w:r>
      <w:r>
        <w:t>частия в конкурсном отборе.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При подаче муниципальным округом нескольких заявок реализация инициативных проектов должна быть обеспечена более чем в одном поселении, входящем в состав муниципального округа.</w:t>
      </w:r>
    </w:p>
    <w:p w:rsidR="00821E2F" w:rsidRDefault="00B838EC">
      <w:pPr>
        <w:pStyle w:val="ConsPlusNormal"/>
        <w:jc w:val="both"/>
      </w:pPr>
      <w:r>
        <w:t>(в ред. Постановления Правительства Мурманской обла</w:t>
      </w:r>
      <w:r>
        <w:t>сти от 23.09.2025 N 618-ПП)</w:t>
      </w:r>
    </w:p>
    <w:p w:rsidR="00821E2F" w:rsidRDefault="00B838EC">
      <w:pPr>
        <w:pStyle w:val="ConsPlusNormal"/>
        <w:spacing w:before="240"/>
        <w:ind w:firstLine="540"/>
        <w:jc w:val="both"/>
      </w:pPr>
      <w:bookmarkStart w:id="1" w:name="P40"/>
      <w:bookmarkEnd w:id="1"/>
      <w:r>
        <w:t>9. Общая сумма средств из областного бюджета местному бюджету по всем поданным муниципальным образованием заявкам не может превышать следующего максимального размера субсидии: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- для административного центра Мурманской области - </w:t>
      </w:r>
      <w:r>
        <w:t>15 % от общего объема субсидии;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для городских и муниципальных округов - 6 % от общего объема субсидии.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Размер субсидии определяется по итогам конкурсного отбора в соответствии с Порядком проведения конкурсного отбора.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Распределение утверждается не поздне</w:t>
      </w:r>
      <w:r>
        <w:t>е 30 марта года, в котором предоставляются субсидии.</w:t>
      </w:r>
    </w:p>
    <w:p w:rsidR="00821E2F" w:rsidRDefault="00B838EC">
      <w:pPr>
        <w:pStyle w:val="ConsPlusNormal"/>
        <w:jc w:val="both"/>
      </w:pPr>
      <w:r>
        <w:t>(п. 9 в ред. Постановления Правительства Мурманской области от 23.09.2025 N 618-ПП)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10. Уровень софинансирования расходного обязательства муниципального образования устанавливается в соответствии с преде</w:t>
      </w:r>
      <w:r>
        <w:t>льным уровнем софинансирования расходного обязательства муниципального образования из областного бюджета, утвержденным постановлением Правительства Мурманской области на соответствующий финансовый год.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11. </w:t>
      </w:r>
      <w:proofErr w:type="gramStart"/>
      <w:r>
        <w:t xml:space="preserve"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</w:t>
      </w:r>
      <w:r>
        <w:lastRenderedPageBreak/>
        <w:t>размер расходного обязательства муниципального образования, в целях софинансирования котор</w:t>
      </w:r>
      <w:r>
        <w:t>ого предоставляется субсидия, то указанные бюджетные ассигнования предусматриваются по иным кодам классификации расходов, отличным от кодов классификации расходов местных бюджетов, по которым предусмотрены бюджетные ассигнования на исполнение расходного об</w:t>
      </w:r>
      <w:r>
        <w:t>язательства муниципального образования, софинансируемого из</w:t>
      </w:r>
      <w:proofErr w:type="gramEnd"/>
      <w:r>
        <w:t xml:space="preserve"> областного бюджета.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12. Субсидия предоставляется на основании соглашения, заключаемого между Министерством и победителем конкурсного отбора в соответствии с типовой формой, утвержденной Министерст</w:t>
      </w:r>
      <w:r>
        <w:t>вом финансов Мурманской области,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Соглашение).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13. Субсидии перечисляются на единые счета местных бюджетов, открытые финанс</w:t>
      </w:r>
      <w:r>
        <w:t>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821E2F" w:rsidRDefault="00B838EC">
      <w:pPr>
        <w:pStyle w:val="ConsPlusNormal"/>
        <w:spacing w:before="240"/>
        <w:ind w:firstLine="540"/>
        <w:jc w:val="both"/>
      </w:pPr>
      <w:bookmarkStart w:id="2" w:name="P50"/>
      <w:bookmarkEnd w:id="2"/>
      <w:r>
        <w:t xml:space="preserve">14. </w:t>
      </w:r>
      <w:proofErr w:type="gramStart"/>
      <w:r>
        <w:t>В случае уменьшения стоимости инициативного проекта, в том числе по результатам проведенных муниципальным образованием закупок товаров, работ, услуг, в Соглашение вносятся изменения путем заключения дополнительного соглашения, в котором устанавливаются</w:t>
      </w:r>
      <w:r>
        <w:t xml:space="preserve"> размер субсидии и минимальные объемы финансирования инициативного проекта по каждому из источников финансирования, после внесения изменения в распределение субсидий между муниципальными образованиями на основании нормативного правового акта Правительства </w:t>
      </w:r>
      <w:r>
        <w:t>Мурманской области.</w:t>
      </w:r>
      <w:proofErr w:type="gramEnd"/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15. </w:t>
      </w:r>
      <w:proofErr w:type="gramStart"/>
      <w:r>
        <w:t>Средства областного бюджета, сэкономленные при осуществлении закупок товаров, работ, услуг либо при расторжении контракта (договора, соглашения) в связи с неисполнением (ненадлежащим исполнением) поставщиком (подрядчиком, исполнител</w:t>
      </w:r>
      <w:r>
        <w:t>ем) условий контракта (договора, соглашения), могут быть направлены на те же цели.</w:t>
      </w:r>
      <w:proofErr w:type="gramEnd"/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В случае, установленном </w:t>
      </w:r>
      <w:hyperlink w:anchor="P50" w:tooltip="14. В случае уменьшения стоимости инициативного проекта, в том числе по результатам проведенных муниципальным образованием закупок товаров, работ, услуг, в Соглашение вносятся изменения путем заключения дополнительного соглашения, в котором устанавливаются раз">
        <w:r>
          <w:rPr>
            <w:color w:val="0000FF"/>
          </w:rPr>
          <w:t>пунктом 14</w:t>
        </w:r>
      </w:hyperlink>
      <w:r>
        <w:t xml:space="preserve"> настоящих Правил, а также в случае невыполнения условий предоставления межбюджетных трансфертов Минист</w:t>
      </w:r>
      <w:r>
        <w:t>ерство принимает решение о целесообразности проведения дополнительного конкурсного отбора муниципальных образований для предоставления субсидии на реализацию инициативных проектов.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При проведении дополнительного отбора требования, установленные </w:t>
      </w:r>
      <w:hyperlink w:anchor="P40" w:tooltip="9. Общая сумма средств из областного бюджета местному бюджету по всем поданным муниципальным образованием заявкам не может превышать следующего максимального размера субсидии:">
        <w:r>
          <w:rPr>
            <w:color w:val="0000FF"/>
          </w:rPr>
          <w:t>абзацами первым</w:t>
        </w:r>
      </w:hyperlink>
      <w:r>
        <w:t xml:space="preserve"> - </w:t>
      </w:r>
      <w:hyperlink w:anchor="P40" w:tooltip="9. Общая сумма средств из областного бюджета местному бюджету по всем поданным муниципальным образованием заявкам не может превышать следующего максимального размера субсидии:">
        <w:r>
          <w:rPr>
            <w:color w:val="0000FF"/>
          </w:rPr>
          <w:t>четвертым пункта 9</w:t>
        </w:r>
      </w:hyperlink>
      <w:r>
        <w:t xml:space="preserve"> настоящих Правил, не применяются.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16. В случае представления Министерств</w:t>
      </w:r>
      <w:r>
        <w:t>у получателем субсидии копий документов, заверенных в установленном порядке, подтверждающих фактическое перечисление за поставленные товары, выполненные работы, оказанные услуги в рамках реализации инициативного проекта средств местного бюджета в объеме, п</w:t>
      </w:r>
      <w:r>
        <w:t>ревышающем минимальный объем финансирования инициативного проекта, установленный Соглашением, субсидия подлежит перечислению получателю в объеме, установленном Соглашением.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17. Показателем результативности предоставления субсидии является количество реализ</w:t>
      </w:r>
      <w:r>
        <w:t>ованных проектов, инициированных населением муниципальных образований Мурманской области.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Значения показателей результативности устанавливаются в Соглашении.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lastRenderedPageBreak/>
        <w:t>18. Оценка результативности использования субсидии осуществляется Министерством исходя из достижен</w:t>
      </w:r>
      <w:r>
        <w:t xml:space="preserve">ия муниципальным образованием </w:t>
      </w:r>
      <w:proofErr w:type="gramStart"/>
      <w:r>
        <w:t>значения показателя результативности предоставления субсидии</w:t>
      </w:r>
      <w:proofErr w:type="gramEnd"/>
      <w:r>
        <w:t xml:space="preserve"> на основании отчетных данных, представляемых муниципальными образованиями в соответствии с </w:t>
      </w:r>
      <w:hyperlink w:anchor="P58" w:tooltip="19. Уполномоченный орган местного самоуправления муниципального образования ежеквартально представляет в Министерство посредством программного комплекса &quot;Реестр соглашений&quot; электронной системы &quot;Web-Бюджет&quot; до 8-го числа месяца, следующего за отчетным кварталом">
        <w:r>
          <w:rPr>
            <w:color w:val="0000FF"/>
          </w:rPr>
          <w:t>пунктом 19</w:t>
        </w:r>
      </w:hyperlink>
      <w:r>
        <w:t xml:space="preserve"> настоящих Правил.</w:t>
      </w:r>
    </w:p>
    <w:p w:rsidR="00821E2F" w:rsidRDefault="00B838EC">
      <w:pPr>
        <w:pStyle w:val="ConsPlusNormal"/>
        <w:spacing w:before="240"/>
        <w:ind w:firstLine="540"/>
        <w:jc w:val="both"/>
      </w:pPr>
      <w:bookmarkStart w:id="3" w:name="P58"/>
      <w:bookmarkEnd w:id="3"/>
      <w:r>
        <w:t>19. У</w:t>
      </w:r>
      <w:r>
        <w:t>полномоченный орган местного самоуправления муниципального образования ежеквартально представляет в Министерство посредством программного комплекса "Реестр соглашений" электронной системы "</w:t>
      </w:r>
      <w:proofErr w:type="spellStart"/>
      <w:r>
        <w:t>Web</w:t>
      </w:r>
      <w:proofErr w:type="spellEnd"/>
      <w:r>
        <w:t>-Бюджет" до 8-го числа месяца, следующего за отчетным кварталом: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отчетность об осуществлении расходов местного бюджета, в целях софинансирования которых предоставляется субсидия;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- отчетность об исполнении условий предоставления субсидии;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- отчетность о достижении </w:t>
      </w:r>
      <w:proofErr w:type="gramStart"/>
      <w:r>
        <w:t xml:space="preserve">значений показателей результативности предоставления </w:t>
      </w:r>
      <w:r>
        <w:t>субсидии</w:t>
      </w:r>
      <w:proofErr w:type="gramEnd"/>
      <w:r>
        <w:t>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Формы отчетностей устанавливаются Министерством.</w:t>
      </w:r>
    </w:p>
    <w:p w:rsidR="00821E2F" w:rsidRDefault="00B838EC">
      <w:pPr>
        <w:pStyle w:val="ConsPlusNormal"/>
        <w:spacing w:before="240"/>
        <w:ind w:firstLine="540"/>
        <w:jc w:val="both"/>
      </w:pPr>
      <w:bookmarkStart w:id="4" w:name="P63"/>
      <w:bookmarkEnd w:id="4"/>
      <w:r>
        <w:t xml:space="preserve">20. </w:t>
      </w:r>
      <w:proofErr w:type="gramStart"/>
      <w:r>
        <w:t>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5 пункта 7 Правил формирования, пред</w:t>
      </w:r>
      <w:r>
        <w:t>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 (далее - Правила N 445-ПП), объем средств, подлежащий возврату в областной бю</w:t>
      </w:r>
      <w:r>
        <w:t>джет в срок до 1 июня года</w:t>
      </w:r>
      <w:proofErr w:type="gramEnd"/>
      <w:r>
        <w:t>, следующего за годом предоставления субсидии, определяется в соответствии с пунктом 12 Правил N 445-ПП.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21. Основанием для освобождения муниципальных образований от применения мер ответственности, предусмотренных </w:t>
      </w:r>
      <w:hyperlink w:anchor="P63" w:tooltip="20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5 пункта 7 Правил формирования, предоставления и распределения субсидий из областного бюджета местн">
        <w:r>
          <w:rPr>
            <w:color w:val="0000FF"/>
          </w:rPr>
          <w:t>пунктом 20</w:t>
        </w:r>
      </w:hyperlink>
      <w:r>
        <w:t xml:space="preserve"> настоящих Правил,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1) установление регионального (межмуниципального) и (или)</w:t>
      </w:r>
      <w:r>
        <w:t xml:space="preserve"> местного уровня реагирования на чрезвычайную ситуацию, введение ограничительных мероприятий, направленных на обеспечение санитарно-эпидемиологического благополучия населения, подтвержденное правовым актом органа государственной власти Мурманской области и</w:t>
      </w:r>
      <w:r>
        <w:t xml:space="preserve"> (или) органа местного самоуправления;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2)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</w:t>
      </w:r>
      <w:r>
        <w:t>манской области;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3)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4) н</w:t>
      </w:r>
      <w:r>
        <w:t>аличие вступившего в законную силу в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соответствии с</w:t>
      </w:r>
      <w:r>
        <w:t xml:space="preserve"> подпунктом 6 пункта 7 Правил N 445-ПП.</w:t>
      </w:r>
    </w:p>
    <w:p w:rsidR="00821E2F" w:rsidRDefault="00B838EC">
      <w:pPr>
        <w:pStyle w:val="ConsPlusNormal"/>
        <w:spacing w:before="240"/>
        <w:ind w:firstLine="540"/>
        <w:jc w:val="both"/>
      </w:pPr>
      <w:proofErr w:type="gramStart"/>
      <w:r>
        <w:lastRenderedPageBreak/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63" w:tooltip="20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5 пункта 7 Правил формирования, предоставления и распределения субсидий из областного бюджета местн">
        <w:r>
          <w:rPr>
            <w:color w:val="0000FF"/>
          </w:rPr>
          <w:t>пунктом 20</w:t>
        </w:r>
      </w:hyperlink>
      <w:r>
        <w:t xml:space="preserve"> настоящих Правил, Министерство не позднее 30-</w:t>
      </w:r>
      <w:r>
        <w:t>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</w:t>
      </w:r>
      <w:r>
        <w:t>ребование по возврату из местного бюджета в областной бюджет объема</w:t>
      </w:r>
      <w:proofErr w:type="gramEnd"/>
      <w:r>
        <w:t xml:space="preserve"> средств, рассчитанного в соответствии с </w:t>
      </w:r>
      <w:hyperlink w:anchor="P63" w:tooltip="20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5 пункта 7 Правил формирования, предоставления и распределения субсидий из областного бюджета местн">
        <w:r>
          <w:rPr>
            <w:color w:val="0000FF"/>
          </w:rPr>
          <w:t>пунктом 20</w:t>
        </w:r>
      </w:hyperlink>
      <w:r>
        <w:t xml:space="preserve"> настоящих Правил, с указанием сумм, подлежащих возврату, средств и сроков их возврата в соответствии </w:t>
      </w:r>
      <w:r>
        <w:t>с настоящими Правилами.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22.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23. </w:t>
      </w:r>
      <w:proofErr w:type="gramStart"/>
      <w:r>
        <w:t>В случае если муниципальным образованием по состоянию на 31 декабря года пр</w:t>
      </w:r>
      <w:r>
        <w:t xml:space="preserve">едоставления субсидии допущены нарушения обязательств, предусмотренных Соглашением в соответствии с подпунктом 4 пункта 7 Правил N 445-ПП, объем средств, подлежащий возврату из местного бюджета в областной бюджет в срок до 1 июня года, следующего за годом </w:t>
      </w:r>
      <w:r>
        <w:t>предоставления субсидии, рассчитывается в соответствии с пунктом 16 Правил N 445-ПП.</w:t>
      </w:r>
      <w:proofErr w:type="gramEnd"/>
    </w:p>
    <w:p w:rsidR="00821E2F" w:rsidRDefault="00B838EC">
      <w:pPr>
        <w:pStyle w:val="ConsPlusNormal"/>
        <w:spacing w:before="240"/>
        <w:ind w:firstLine="540"/>
        <w:jc w:val="both"/>
      </w:pPr>
      <w:r>
        <w:t>24. Не использованные на 1 января года, следующего за годом предоставления субсидии, межбюджетные трансферты, полученные в форме субсидий, подлежат возврату в доход област</w:t>
      </w:r>
      <w:r>
        <w:t>ного бюджета.</w:t>
      </w:r>
    </w:p>
    <w:p w:rsidR="00821E2F" w:rsidRDefault="00B838EC">
      <w:pPr>
        <w:pStyle w:val="ConsPlusNormal"/>
        <w:spacing w:before="240"/>
        <w:ind w:firstLine="540"/>
        <w:jc w:val="both"/>
      </w:pPr>
      <w:proofErr w:type="gramStart"/>
      <w:r>
        <w:t xml:space="preserve">В соответствии с решением Министерства о наличии потребности в межбюджетных трансфертах, полученных в форме субсидий, не использованных в отчетном финансовом году, согласованным с Министерством финансов Мурманской области, средства в объеме, </w:t>
      </w:r>
      <w:r>
        <w:t>не превышающем остатка субсидий,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субсидий.</w:t>
      </w:r>
      <w:proofErr w:type="gramEnd"/>
    </w:p>
    <w:p w:rsidR="00821E2F" w:rsidRDefault="00B838EC">
      <w:pPr>
        <w:pStyle w:val="ConsPlusNormal"/>
        <w:spacing w:before="240"/>
        <w:ind w:firstLine="540"/>
        <w:jc w:val="both"/>
      </w:pPr>
      <w:r>
        <w:t>В случае если не</w:t>
      </w:r>
      <w:r>
        <w:t>использованный остаток межбюджетных трансфертов, полученных в форме субсидий,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821E2F" w:rsidRDefault="00B838EC">
      <w:pPr>
        <w:pStyle w:val="ConsPlusNormal"/>
        <w:spacing w:before="240"/>
        <w:ind w:firstLine="540"/>
        <w:jc w:val="both"/>
      </w:pPr>
      <w:proofErr w:type="gramStart"/>
      <w:r>
        <w:t>Потребность в неиспользованных остатках межбюджетных трансфертов,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</w:t>
      </w:r>
      <w:r>
        <w:t>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главного распорядителя средств областного бюджета.</w:t>
      </w:r>
      <w:proofErr w:type="gramEnd"/>
    </w:p>
    <w:p w:rsidR="00821E2F" w:rsidRDefault="00B838EC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</w:t>
      </w:r>
      <w:r>
        <w:t xml:space="preserve">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</w:t>
      </w:r>
      <w:r>
        <w:t>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</w:t>
      </w:r>
      <w:r>
        <w:t>, представленного Министерством.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 xml:space="preserve">25. </w:t>
      </w:r>
      <w:proofErr w:type="gramStart"/>
      <w:r>
        <w:t>Контроль за</w:t>
      </w:r>
      <w:proofErr w:type="gramEnd"/>
      <w:r>
        <w:t xml:space="preserve"> соблюдением получателями субсидий условий, целей и порядка, установленных при их предоставлении, осуществляется Министерством и органами </w:t>
      </w:r>
      <w:r>
        <w:lastRenderedPageBreak/>
        <w:t>государственного финансового контроля.</w:t>
      </w:r>
    </w:p>
    <w:p w:rsidR="00821E2F" w:rsidRDefault="00B838EC">
      <w:pPr>
        <w:pStyle w:val="ConsPlusNormal"/>
        <w:spacing w:before="240"/>
        <w:ind w:firstLine="540"/>
        <w:jc w:val="both"/>
      </w:pPr>
      <w:r>
        <w:t>26. Рекомендованным сроком окон</w:t>
      </w:r>
      <w:r>
        <w:t>чания работ по заключенным контрактам (подписанным договорам, соглашениям) является 1 сентября финансового года, в котором была предоставлена субсидия.</w:t>
      </w:r>
    </w:p>
    <w:p w:rsidR="00821E2F" w:rsidRDefault="00821E2F">
      <w:pPr>
        <w:pStyle w:val="ConsPlusNormal"/>
        <w:jc w:val="both"/>
      </w:pPr>
    </w:p>
    <w:p w:rsidR="00821E2F" w:rsidRDefault="00821E2F">
      <w:pPr>
        <w:pStyle w:val="ConsPlusNormal"/>
        <w:jc w:val="both"/>
      </w:pPr>
    </w:p>
    <w:p w:rsidR="00821E2F" w:rsidRDefault="00821E2F">
      <w:pPr>
        <w:pStyle w:val="ConsPlusNormal"/>
        <w:jc w:val="both"/>
      </w:pPr>
    </w:p>
    <w:p w:rsidR="00821E2F" w:rsidRDefault="00821E2F">
      <w:pPr>
        <w:pStyle w:val="ConsPlusNormal"/>
        <w:jc w:val="both"/>
      </w:pPr>
    </w:p>
    <w:p w:rsidR="00821E2F" w:rsidRDefault="00821E2F">
      <w:pPr>
        <w:pStyle w:val="ConsPlusNormal"/>
        <w:jc w:val="both"/>
      </w:pPr>
    </w:p>
    <w:p w:rsidR="00821E2F" w:rsidRDefault="00B838EC">
      <w:pPr>
        <w:pStyle w:val="ConsPlusNormal"/>
      </w:pPr>
      <w:r>
        <w:rPr>
          <w:i/>
        </w:rPr>
        <w:br/>
        <w:t>Постановление Правительства Мурманской области от 28.12.2024 N 991-ПП (ред. от 23.09.2025) "Об утв</w:t>
      </w:r>
      <w:r>
        <w:rPr>
          <w:i/>
        </w:rPr>
        <w:t>ерждении государственной программы Мурманской области "Формирование современной городской среды"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821E2F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2F"/>
    <w:rsid w:val="00821E2F"/>
    <w:rsid w:val="00B8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2994</Words>
  <Characters>17071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28.12.2024 N 991-ПП
(ред. от 23.09.2025)
"Об утверждении государственной программы Мурманской области "Формирование современной городской среды"</vt:lpstr>
    </vt:vector>
  </TitlesOfParts>
  <Company>КонсультантПлюс Версия 4024.00.50</Company>
  <LinksUpToDate>false</LinksUpToDate>
  <CharactersWithSpaces>20025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28.12.2024 N 991-ПП
(ред. от 23.09.2025)
"Об утверждении государственной программы Мурманской области "Формирование современной городской среды"</dc:title>
  <dc:creator>Поддубная А.В.</dc:creator>
  <cp:lastModifiedBy>Поддубная А.В.</cp:lastModifiedBy>
  <cp:revision>2</cp:revision>
  <dcterms:created xsi:type="dcterms:W3CDTF">2025-10-06T09:19:00Z</dcterms:created>
  <dcterms:modified xsi:type="dcterms:W3CDTF">2025-10-06T09:19:00Z</dcterms:modified>
</cp:coreProperties>
</file>